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EE6BA1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EE6BA1" w:rsidRDefault="00541954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EE6BA1" w:rsidRDefault="00AC0A78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С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тарошешминского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EE6BA1" w:rsidRDefault="007965C7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с. Старошешминск</w:t>
            </w:r>
            <w:r w:rsidR="00CE5F4E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Ленина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AC0A78" w:rsidRPr="00EE6BA1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нын</w:t>
            </w:r>
          </w:p>
          <w:p w:rsidR="008F596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EE6BA1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EE6BA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E6BA1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541954" w:rsidRPr="00EE6BA1" w:rsidRDefault="00541954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EE6BA1" w:rsidRDefault="007965C7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EE6BA1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EE6BA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E6BA1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EE6BA1">
              <w:rPr>
                <w:rFonts w:ascii="Arial" w:hAnsi="Arial" w:cs="Arial"/>
                <w:bCs/>
                <w:sz w:val="24"/>
                <w:szCs w:val="24"/>
              </w:rPr>
              <w:t>Ленин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AC0A78" w:rsidRPr="00EE6BA1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A121A7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BA1" w:rsidRDefault="00F34F7C" w:rsidP="00EE6B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33-46-48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7052A" w:rsidRPr="00EE6BA1">
              <w:rPr>
                <w:rFonts w:ascii="Arial" w:eastAsia="Calibri" w:hAnsi="Arial" w:cs="Arial"/>
                <w:bCs/>
                <w:sz w:val="24"/>
                <w:szCs w:val="24"/>
              </w:rPr>
              <w:t>Starosheshminskoe.Sp</w:t>
            </w:r>
            <w:r w:rsidR="00A875EC" w:rsidRPr="00EE6BA1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EE6BA1" w:rsidRDefault="00F34F7C" w:rsidP="00EE6B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052A"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6C32F5" w:rsidRPr="00EE6BA1" w:rsidRDefault="006C32F5" w:rsidP="00EE6BA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EE6BA1" w:rsidRDefault="006C32F5" w:rsidP="00EE6BA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26492" w:rsidRPr="00EE6BA1" w:rsidRDefault="00C26492" w:rsidP="00EE6BA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E6BA1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C462ED" w:rsidRPr="00EE6BA1" w:rsidRDefault="00C462ED" w:rsidP="00EE6B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80879" w:rsidRPr="00CF367F" w:rsidRDefault="00E80879" w:rsidP="00E808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CF367F">
        <w:rPr>
          <w:rFonts w:ascii="Arial" w:hAnsi="Arial" w:cs="Arial"/>
          <w:sz w:val="24"/>
          <w:szCs w:val="24"/>
          <w:lang w:val="tt-RU"/>
        </w:rPr>
        <w:t xml:space="preserve">от 27.03.2020 г.                                                                                                                    № </w:t>
      </w:r>
      <w:r w:rsidR="00A121A7">
        <w:rPr>
          <w:rFonts w:ascii="Arial" w:hAnsi="Arial" w:cs="Arial"/>
          <w:sz w:val="24"/>
          <w:szCs w:val="24"/>
          <w:lang w:val="tt-RU"/>
        </w:rPr>
        <w:t>5</w:t>
      </w:r>
    </w:p>
    <w:p w:rsidR="00E80879" w:rsidRPr="00CF367F" w:rsidRDefault="00E80879" w:rsidP="00E80879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E80879" w:rsidRPr="00CF367F" w:rsidRDefault="00E80879" w:rsidP="00E8087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tabs>
          <w:tab w:val="left" w:pos="5387"/>
          <w:tab w:val="left" w:pos="5670"/>
        </w:tabs>
        <w:spacing w:after="0" w:line="240" w:lineRule="auto"/>
        <w:ind w:right="4535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Об утверждении Порядка формирования перечня налоговых расходов и оценки налоговых расходов </w:t>
      </w:r>
      <w:proofErr w:type="spellStart"/>
      <w:r w:rsidR="00974CE8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сельского поселения в 2020 году</w:t>
      </w:r>
    </w:p>
    <w:p w:rsidR="00E80879" w:rsidRPr="00CF367F" w:rsidRDefault="00E80879" w:rsidP="00E808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В соответствии со статьей 174</w:t>
      </w:r>
      <w:r w:rsidRPr="00CF367F">
        <w:rPr>
          <w:rFonts w:ascii="Arial" w:hAnsi="Arial" w:cs="Arial"/>
          <w:sz w:val="24"/>
          <w:szCs w:val="24"/>
          <w:vertAlign w:val="superscript"/>
        </w:rPr>
        <w:t>3</w:t>
      </w:r>
      <w:r w:rsidRPr="00CF367F">
        <w:rPr>
          <w:rFonts w:ascii="Arial" w:hAnsi="Arial" w:cs="Arial"/>
          <w:sz w:val="24"/>
          <w:szCs w:val="24"/>
        </w:rPr>
        <w:t xml:space="preserve"> Бюджетного кодекса Российской Федерации, постановлением Правительства Российской Федерации от 22 июня 2019 г. №796 «Об общих требованиях к оценке налоговых расходов субъектов Российской Федерации и муниципальных образований», постановляю:</w:t>
      </w:r>
    </w:p>
    <w:p w:rsidR="00E80879" w:rsidRPr="00CF367F" w:rsidRDefault="00E80879" w:rsidP="00E808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прилагаемый Порядок формирования перечня налоговых расходов, и порядок проведения оценки налоговых расходов </w:t>
      </w:r>
      <w:proofErr w:type="spellStart"/>
      <w:r w:rsidR="00974CE8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974CE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CF367F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E80879" w:rsidRPr="00CF367F" w:rsidRDefault="00E80879" w:rsidP="00E808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2. Предложить Управлению Федеральной налоговой службы по Республике Татарстан до 1 сентября направить в исполнительный комитет </w:t>
      </w:r>
      <w:proofErr w:type="spellStart"/>
      <w:r w:rsidR="00974CE8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974CE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сведения за отчетный год, за год, предшествующий отчетному году: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 количестве плательщиков, воспользовавшихся льготами;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 суммах выпадающих доходов бюджета </w:t>
      </w:r>
      <w:proofErr w:type="spellStart"/>
      <w:r w:rsidR="00974CE8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974CE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по каждому налоговому расходу </w:t>
      </w:r>
      <w:proofErr w:type="spellStart"/>
      <w:r w:rsidR="00974CE8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974CE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поселения.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E80879" w:rsidRPr="00CF367F" w:rsidRDefault="00E80879" w:rsidP="00E80879">
      <w:pPr>
        <w:keepNext/>
        <w:keepLines/>
        <w:spacing w:after="0" w:line="240" w:lineRule="auto"/>
        <w:ind w:firstLine="540"/>
        <w:jc w:val="both"/>
        <w:outlineLvl w:val="0"/>
        <w:rPr>
          <w:rFonts w:ascii="Arial" w:eastAsiaTheme="majorEastAsia" w:hAnsi="Arial" w:cs="Arial"/>
          <w:sz w:val="24"/>
          <w:szCs w:val="24"/>
        </w:rPr>
      </w:pPr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3.  </w:t>
      </w:r>
      <w:proofErr w:type="gramStart"/>
      <w:r w:rsidRPr="00CF367F">
        <w:rPr>
          <w:rFonts w:ascii="Arial" w:eastAsiaTheme="majorEastAsia" w:hAnsi="Arial" w:cs="Arial"/>
          <w:bCs/>
          <w:sz w:val="24"/>
          <w:szCs w:val="24"/>
        </w:rPr>
        <w:t>Контроль за</w:t>
      </w:r>
      <w:proofErr w:type="gramEnd"/>
      <w:r w:rsidRPr="00CF367F">
        <w:rPr>
          <w:rFonts w:ascii="Arial" w:eastAsiaTheme="maj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E80879" w:rsidRPr="00CF367F" w:rsidRDefault="00E80879" w:rsidP="00E808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E80879" w:rsidRPr="00CF367F" w:rsidRDefault="00E80879" w:rsidP="00E8087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E80879" w:rsidRPr="00E80879" w:rsidRDefault="00E80879" w:rsidP="00E80879">
      <w:pPr>
        <w:widowControl w:val="0"/>
        <w:autoSpaceDE w:val="0"/>
        <w:autoSpaceDN w:val="0"/>
        <w:spacing w:after="0" w:line="240" w:lineRule="auto"/>
        <w:ind w:firstLine="540"/>
        <w:jc w:val="right"/>
        <w:rPr>
          <w:rFonts w:ascii="Arial" w:eastAsia="Times New Roman" w:hAnsi="Arial" w:cs="Arial"/>
          <w:bCs/>
          <w:sz w:val="24"/>
          <w:szCs w:val="24"/>
          <w:highlight w:val="lightGray"/>
          <w:lang w:eastAsia="ru-RU"/>
        </w:rPr>
      </w:pPr>
    </w:p>
    <w:p w:rsidR="00E80879" w:rsidRPr="00CF367F" w:rsidRDefault="00E80879" w:rsidP="00E80879">
      <w:pPr>
        <w:widowControl w:val="0"/>
        <w:autoSpaceDE w:val="0"/>
        <w:autoSpaceDN w:val="0"/>
        <w:spacing w:after="0" w:line="240" w:lineRule="auto"/>
        <w:ind w:right="-2"/>
        <w:jc w:val="right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    </w:t>
      </w:r>
      <w:r w:rsidR="00974CE8">
        <w:rPr>
          <w:rFonts w:ascii="Arial" w:eastAsia="Times New Roman" w:hAnsi="Arial" w:cs="Arial"/>
          <w:bCs/>
          <w:sz w:val="24"/>
          <w:szCs w:val="24"/>
          <w:lang w:eastAsia="ru-RU"/>
        </w:rPr>
        <w:t>Ф.Х. Ахметов</w:t>
      </w:r>
    </w:p>
    <w:p w:rsidR="00E80879" w:rsidRPr="00CF367F" w:rsidRDefault="00E80879" w:rsidP="00E80879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left="7092" w:firstLine="696"/>
        <w:contextualSpacing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Утвержден </w:t>
      </w:r>
    </w:p>
    <w:p w:rsidR="00E80879" w:rsidRPr="00CF367F" w:rsidRDefault="00E80879" w:rsidP="00E80879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постановлением </w:t>
      </w:r>
    </w:p>
    <w:p w:rsidR="00E80879" w:rsidRPr="00CF367F" w:rsidRDefault="00E80879" w:rsidP="00E80879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исполнительного комитета</w:t>
      </w:r>
    </w:p>
    <w:p w:rsidR="00E80879" w:rsidRPr="00CF367F" w:rsidRDefault="00974CE8" w:rsidP="00E80879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</w:t>
      </w:r>
      <w:r w:rsidR="00E80879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E80879" w:rsidRPr="00CF367F" w:rsidRDefault="00E80879" w:rsidP="00E80879">
      <w:pPr>
        <w:tabs>
          <w:tab w:val="left" w:pos="4962"/>
        </w:tabs>
        <w:spacing w:after="0" w:line="240" w:lineRule="auto"/>
        <w:ind w:left="7080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от 27.03.2020г. № </w:t>
      </w:r>
      <w:r w:rsidR="00A121A7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</w:p>
    <w:p w:rsidR="00E80879" w:rsidRPr="00CF367F" w:rsidRDefault="00E80879" w:rsidP="00E80879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Порядок</w:t>
      </w:r>
    </w:p>
    <w:p w:rsidR="00E80879" w:rsidRPr="00CF367F" w:rsidRDefault="00E80879" w:rsidP="00E80879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формирования перечня налоговых расходов и проведения</w:t>
      </w:r>
    </w:p>
    <w:p w:rsidR="00E80879" w:rsidRPr="00CF367F" w:rsidRDefault="00E80879" w:rsidP="00E80879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оценки налоговых расходов </w:t>
      </w:r>
      <w:proofErr w:type="spellStart"/>
      <w:r w:rsidR="00974CE8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974CE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в 2020 году                                                        </w:t>
      </w:r>
    </w:p>
    <w:p w:rsidR="00E80879" w:rsidRPr="00CF367F" w:rsidRDefault="00E80879" w:rsidP="00E80879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tabs>
          <w:tab w:val="left" w:pos="4962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</w:t>
      </w:r>
      <w:r w:rsidRPr="00CF367F">
        <w:rPr>
          <w:rFonts w:ascii="Arial" w:hAnsi="Arial" w:cs="Arial"/>
          <w:sz w:val="24"/>
          <w:szCs w:val="24"/>
        </w:rPr>
        <w:t>. Общие положения</w:t>
      </w:r>
    </w:p>
    <w:p w:rsidR="00E80879" w:rsidRPr="00CF367F" w:rsidRDefault="00E80879" w:rsidP="00E80879">
      <w:pPr>
        <w:spacing w:after="0" w:line="240" w:lineRule="auto"/>
        <w:ind w:left="708"/>
        <w:contextualSpacing/>
        <w:jc w:val="both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1. Настоящий Порядок определяет правила формирования перечня налоговых расходов </w:t>
      </w:r>
      <w:proofErr w:type="spellStart"/>
      <w:r w:rsidR="00974CE8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974CE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 xml:space="preserve">сельского поселения и оценки налоговых расходов </w:t>
      </w:r>
      <w:proofErr w:type="spellStart"/>
      <w:r w:rsidR="00974CE8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="00974CE8" w:rsidRPr="00CF367F">
        <w:rPr>
          <w:rFonts w:ascii="Arial" w:hAnsi="Arial" w:cs="Arial"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сельского поселения (далее – Порядок, муниципальное  образование).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2. В настоящем Порядке используются термины и понятия, установленные</w:t>
      </w:r>
      <w:r w:rsidRPr="00CF367F">
        <w:rPr>
          <w:rFonts w:ascii="Arial" w:hAnsi="Arial" w:cs="Arial"/>
          <w:i/>
          <w:sz w:val="24"/>
          <w:szCs w:val="24"/>
        </w:rPr>
        <w:t xml:space="preserve"> </w:t>
      </w:r>
      <w:r w:rsidRPr="00CF367F">
        <w:rPr>
          <w:rFonts w:ascii="Arial" w:hAnsi="Arial" w:cs="Arial"/>
          <w:sz w:val="24"/>
          <w:szCs w:val="24"/>
        </w:rPr>
        <w:t>общими требованиями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г. № 796 «Об общих требованиях к оценке налоговых расходов субъектов Российской Федерации и муниципальных образований» (далее - Общие требования).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1" w:name="sub_4"/>
      <w:r w:rsidRPr="00CF367F">
        <w:rPr>
          <w:rFonts w:ascii="Arial" w:hAnsi="Arial" w:cs="Arial"/>
          <w:sz w:val="24"/>
          <w:szCs w:val="24"/>
        </w:rPr>
        <w:t>3. Отнесение налоговых расходов муниципального образования к муниципальным программам осуществляется исходя из целей муниципальных программ, структурных элементов муниципальных программ и (или) целей социально-экономической политики муниципального образования, не относящихся к муниципальным программам.</w:t>
      </w:r>
    </w:p>
    <w:bookmarkEnd w:id="1"/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4. В целях оценки налоговых расходов муниципального образования исполнительный комитет муниципального образования (либо иной уполномоченный орган):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формирует перечень налоговых расходов муниципального образования;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осуществляет анализ и обобщение результатов оценки налоговых расходов муниципального образования.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  <w:lang w:val="en-US"/>
        </w:rPr>
        <w:t>II</w:t>
      </w:r>
      <w:r w:rsidRPr="00CF367F">
        <w:rPr>
          <w:rFonts w:ascii="Arial" w:hAnsi="Arial" w:cs="Arial"/>
          <w:sz w:val="24"/>
          <w:szCs w:val="24"/>
        </w:rPr>
        <w:t>. Формирование перечня налоговых расходов муниципального образования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5. Перечень налоговых расходов муниципального образования на очередной финансовый год и плановый период формируется исполнительным комитетом муниципального образования (либо иным уполномоченным органом) и утверждается до 1 июня текущего года.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6. Утвержденный Перечень налоговых расходов муниципального образования размещается на официальном сайте муниципального образования не позднее 1 июля текущего года.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7. В целях оценки налоговых расходов муниципального образования Управление Федеральной налоговой службы по Республике Татарстан представляет в исполнительный комитет муниципального образования информацию о фискальных характеристиках налоговых расходов муниципального образования за отчетный финансовый год и за год, предшествующий </w:t>
      </w:r>
      <w:proofErr w:type="gramStart"/>
      <w:r w:rsidRPr="00CF367F">
        <w:rPr>
          <w:rFonts w:ascii="Arial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hAnsi="Arial" w:cs="Arial"/>
          <w:sz w:val="24"/>
          <w:szCs w:val="24"/>
        </w:rPr>
        <w:t>.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8. В целях проведения оценки налоговых расходов муниципального образования исполнительный комитет муниципального образования (либо иной уполномоченный </w:t>
      </w:r>
      <w:r w:rsidRPr="00CF367F">
        <w:rPr>
          <w:rFonts w:ascii="Arial" w:hAnsi="Arial" w:cs="Arial"/>
          <w:sz w:val="24"/>
          <w:szCs w:val="24"/>
        </w:rPr>
        <w:lastRenderedPageBreak/>
        <w:t xml:space="preserve">орган) ежегодно, до 1 августа, направляет в Управление Федеральной налоговой службы по Республике Татарстан сведения о категориях </w:t>
      </w:r>
      <w:proofErr w:type="gramStart"/>
      <w:r w:rsidRPr="00CF367F">
        <w:rPr>
          <w:rFonts w:ascii="Arial" w:hAnsi="Arial" w:cs="Arial"/>
          <w:sz w:val="24"/>
          <w:szCs w:val="24"/>
        </w:rPr>
        <w:t>плательщиков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</w:t>
      </w:r>
      <w:hyperlink r:id="rId6" w:history="1">
        <w:r w:rsidRPr="00CF367F">
          <w:rPr>
            <w:rFonts w:ascii="Arial" w:hAnsi="Arial" w:cs="Arial"/>
            <w:sz w:val="24"/>
            <w:szCs w:val="24"/>
          </w:rPr>
          <w:t>приложением</w:t>
        </w:r>
      </w:hyperlink>
      <w:r w:rsidRPr="00CF367F">
        <w:rPr>
          <w:rFonts w:ascii="Arial" w:hAnsi="Arial" w:cs="Arial"/>
          <w:sz w:val="24"/>
          <w:szCs w:val="24"/>
        </w:rPr>
        <w:t xml:space="preserve"> к настоящему Порядку.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9. 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образования, исполнительный комитет муниципального образования в течение 10 рабочих дней </w:t>
      </w:r>
      <w:proofErr w:type="gramStart"/>
      <w:r w:rsidRPr="00CF367F">
        <w:rPr>
          <w:rFonts w:ascii="Arial" w:hAnsi="Arial" w:cs="Arial"/>
          <w:sz w:val="24"/>
          <w:szCs w:val="24"/>
        </w:rPr>
        <w:t>с даты вступления</w:t>
      </w:r>
      <w:proofErr w:type="gramEnd"/>
      <w:r w:rsidRPr="00CF367F">
        <w:rPr>
          <w:rFonts w:ascii="Arial" w:hAnsi="Arial" w:cs="Arial"/>
          <w:sz w:val="24"/>
          <w:szCs w:val="24"/>
        </w:rPr>
        <w:t xml:space="preserve"> в силу соответствующего нормативного правового акта, вносит соответствующие изменения в Перечень налоговых расходов муниципального образования.</w:t>
      </w:r>
    </w:p>
    <w:p w:rsidR="00E80879" w:rsidRPr="00CF367F" w:rsidRDefault="00E80879" w:rsidP="00E8087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2" w:name="P53"/>
      <w:bookmarkEnd w:id="2"/>
    </w:p>
    <w:p w:rsidR="00E80879" w:rsidRPr="00CF367F" w:rsidRDefault="00E80879" w:rsidP="00E8087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3" w:name="P55"/>
      <w:bookmarkEnd w:id="3"/>
      <w:r w:rsidRPr="00CF367F">
        <w:rPr>
          <w:rFonts w:ascii="Arial" w:hAnsi="Arial" w:cs="Arial"/>
          <w:sz w:val="24"/>
          <w:szCs w:val="24"/>
          <w:lang w:val="en-US"/>
        </w:rPr>
        <w:t>III</w:t>
      </w:r>
      <w:r w:rsidRPr="00CF367F">
        <w:rPr>
          <w:rFonts w:ascii="Arial" w:hAnsi="Arial" w:cs="Arial"/>
          <w:sz w:val="24"/>
          <w:szCs w:val="24"/>
        </w:rPr>
        <w:t>. Порядок оценки налоговых расходов муниципального образования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10. Оценка налоговых расходов осуществляется исполнительным комитетом муниципального образования (либо иным уполномоченным органом) и включает: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объемов налоговых расходов муниципального образования;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эффективности налоговых расходов муниципального образования.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11. Оценка эффективности налоговых расходов муниципального образования включает: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целесообразности налоговых расходов муниципального образования;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оценку результативности налоговых расходов муниципального образования.</w:t>
      </w:r>
    </w:p>
    <w:p w:rsidR="00E80879" w:rsidRPr="00CF367F" w:rsidRDefault="00E80879" w:rsidP="00E808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12. Критериями целесообразности налоговых расходов муниципального образования являются:</w:t>
      </w:r>
    </w:p>
    <w:p w:rsidR="00E80879" w:rsidRPr="00CF367F" w:rsidRDefault="00E80879" w:rsidP="00E808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соответствие налоговых расходов муниципального образования целям муниципальных программ</w:t>
      </w:r>
      <w:r w:rsidRPr="00CF367F">
        <w:rPr>
          <w:rFonts w:ascii="Arial" w:hAnsi="Arial" w:cs="Arial"/>
          <w:sz w:val="24"/>
          <w:szCs w:val="24"/>
        </w:rPr>
        <w:t>,</w:t>
      </w:r>
      <w:r w:rsidRPr="00CF367F">
        <w:rPr>
          <w:rFonts w:ascii="Arial" w:eastAsia="Calibri" w:hAnsi="Arial" w:cs="Arial"/>
          <w:sz w:val="24"/>
          <w:szCs w:val="24"/>
        </w:rPr>
        <w:t xml:space="preserve"> 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E80879" w:rsidRPr="00CF367F" w:rsidRDefault="00E80879" w:rsidP="00E808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востребованность налогоплательщиками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 за пятилетний период.</w:t>
      </w:r>
    </w:p>
    <w:p w:rsidR="00E80879" w:rsidRPr="00CF367F" w:rsidRDefault="00E80879" w:rsidP="00E808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случае несоответствия налоговых расходов муниципального образования хотя бы одному из критериев, указанных в настоящем пункте, </w:t>
      </w:r>
      <w:r w:rsidRPr="00CF367F">
        <w:rPr>
          <w:rFonts w:ascii="Arial" w:hAnsi="Arial" w:cs="Arial"/>
          <w:sz w:val="24"/>
          <w:szCs w:val="24"/>
        </w:rPr>
        <w:t xml:space="preserve">исполнительному комитету муниципального образования (либо иному уполномоченному органу) </w:t>
      </w:r>
      <w:r w:rsidRPr="00CF367F">
        <w:rPr>
          <w:rFonts w:ascii="Arial" w:eastAsia="Calibri" w:hAnsi="Arial" w:cs="Arial"/>
          <w:sz w:val="24"/>
          <w:szCs w:val="24"/>
        </w:rPr>
        <w:t>надлежит представить предложения о сохранении (уточнении, отмене)  льгот для плательщиков.</w:t>
      </w:r>
    </w:p>
    <w:p w:rsidR="00E80879" w:rsidRPr="00CF367F" w:rsidRDefault="00E80879" w:rsidP="00E808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13. 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 Данный показатель (показатели) определяется за отчетный год, год, предшествующий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отчетному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текущий финансовый год, очередной финансовый год и плановый период. 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 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lastRenderedPageBreak/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15. В целях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проведения оценки бюджетной эффективности налоговых расходов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образования.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16. 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программам, и объёмом предоставленных льгот  (расчет прироста показателя (индикатора) достижения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, на 1 рубль налоговых расходов муниципальных программ муниципального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 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В качестве альтернативных </w:t>
      </w:r>
      <w:proofErr w:type="gramStart"/>
      <w:r w:rsidRPr="00CF367F">
        <w:rPr>
          <w:rFonts w:ascii="Arial" w:eastAsia="Calibri" w:hAnsi="Arial" w:cs="Arial"/>
          <w:sz w:val="24"/>
          <w:szCs w:val="24"/>
        </w:rPr>
        <w:t>механизмов достижения целей муниципальной программы муниципального образования</w:t>
      </w:r>
      <w:proofErr w:type="gramEnd"/>
      <w:r w:rsidRPr="00CF367F">
        <w:rPr>
          <w:rFonts w:ascii="Arial" w:eastAsia="Calibri" w:hAnsi="Arial" w:cs="Arial"/>
          <w:sz w:val="24"/>
          <w:szCs w:val="24"/>
        </w:rPr>
        <w:t xml:space="preserve"> и (или) целей социально-экономической политики муниципального образования, не относящихся к муниципальным программам, муниципального образования могут учитываться в том числе: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а) 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б) предоставление муниципальных гарантий по обязательствам плательщиков, имеющих право на льготы;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в) 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17. Оценка налоговых расходов муниципального образования осуществляется до 1 октября и содержит: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информацию по Перечню показателей для проведения оценки налоговых расходов;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 xml:space="preserve">- письменные пояснения, содержащие выводы о достижении (не достижении) целевых характеристик налогового расхода, о вкладе налогового расхода в достижение целей муниципальной программы и (или) направлений (целей) социально-экономической политики; 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о наличии (отсутствии) более результативных альтернативных механизмов их достижения;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- предложения по сохранению, уточнению (отмене) налоговых расходов, по установлению новых налоговых расходов.</w:t>
      </w:r>
    </w:p>
    <w:p w:rsidR="00E80879" w:rsidRPr="00CF367F" w:rsidRDefault="00E80879" w:rsidP="00E80879">
      <w:pPr>
        <w:spacing w:after="0" w:line="24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CF367F">
        <w:rPr>
          <w:rFonts w:ascii="Arial" w:hAnsi="Arial" w:cs="Arial"/>
          <w:sz w:val="24"/>
          <w:szCs w:val="24"/>
        </w:rPr>
        <w:t>18. 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E80879" w:rsidRPr="00CF367F" w:rsidRDefault="00E80879" w:rsidP="00E808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E80879" w:rsidRPr="00CF367F" w:rsidRDefault="00E80879" w:rsidP="00E808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E80879" w:rsidRPr="00CF367F" w:rsidRDefault="00E80879" w:rsidP="00E808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E80879" w:rsidRPr="00CF367F" w:rsidRDefault="00E80879" w:rsidP="00E80879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highlight w:val="yellow"/>
        </w:rPr>
      </w:pPr>
    </w:p>
    <w:p w:rsidR="00E80879" w:rsidRPr="00CF367F" w:rsidRDefault="00E80879" w:rsidP="00974CE8">
      <w:pPr>
        <w:spacing w:after="0" w:line="240" w:lineRule="auto"/>
        <w:ind w:left="4248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>Приложение</w:t>
      </w:r>
    </w:p>
    <w:p w:rsidR="00E80879" w:rsidRPr="00CF367F" w:rsidRDefault="00E80879" w:rsidP="00974CE8">
      <w:pPr>
        <w:spacing w:after="0" w:line="240" w:lineRule="auto"/>
        <w:ind w:left="4248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к Порядку формирования </w:t>
      </w:r>
    </w:p>
    <w:p w:rsidR="00E80879" w:rsidRPr="00CF367F" w:rsidRDefault="00E80879" w:rsidP="00974CE8">
      <w:pPr>
        <w:spacing w:after="0" w:line="240" w:lineRule="auto"/>
        <w:ind w:left="4248" w:firstLine="709"/>
        <w:jc w:val="both"/>
        <w:rPr>
          <w:rFonts w:ascii="Arial" w:eastAsia="Calibri" w:hAnsi="Arial" w:cs="Arial"/>
          <w:sz w:val="24"/>
          <w:szCs w:val="24"/>
        </w:rPr>
      </w:pPr>
      <w:r w:rsidRPr="00CF367F">
        <w:rPr>
          <w:rFonts w:ascii="Arial" w:eastAsia="Calibri" w:hAnsi="Arial" w:cs="Arial"/>
          <w:sz w:val="24"/>
          <w:szCs w:val="24"/>
        </w:rPr>
        <w:t xml:space="preserve">перечня налоговых расходов </w:t>
      </w:r>
    </w:p>
    <w:p w:rsidR="00E80879" w:rsidRPr="00CF367F" w:rsidRDefault="00974CE8" w:rsidP="00974CE8">
      <w:pPr>
        <w:spacing w:after="0" w:line="240" w:lineRule="auto"/>
        <w:ind w:left="4248" w:firstLine="709"/>
        <w:jc w:val="both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</w:t>
      </w:r>
      <w:r w:rsidR="00E80879" w:rsidRPr="00CF367F">
        <w:rPr>
          <w:rFonts w:ascii="Arial" w:eastAsia="Calibri" w:hAnsi="Arial" w:cs="Arial"/>
          <w:sz w:val="24"/>
          <w:szCs w:val="24"/>
        </w:rPr>
        <w:t>сельского поселения</w:t>
      </w:r>
    </w:p>
    <w:p w:rsidR="00E80879" w:rsidRPr="00CF367F" w:rsidRDefault="00E80879" w:rsidP="00E80879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tabs>
          <w:tab w:val="left" w:pos="4962"/>
        </w:tabs>
        <w:spacing w:after="0" w:line="240" w:lineRule="auto"/>
        <w:ind w:left="4678"/>
        <w:jc w:val="right"/>
        <w:rPr>
          <w:rFonts w:ascii="Arial" w:hAnsi="Arial" w:cs="Arial"/>
          <w:sz w:val="24"/>
          <w:szCs w:val="24"/>
        </w:rPr>
      </w:pP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pacing w:val="-4"/>
          <w:sz w:val="24"/>
          <w:szCs w:val="24"/>
          <w:lang w:eastAsia="ru-RU"/>
        </w:rPr>
      </w:pPr>
      <w:r w:rsidRPr="00CF367F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Перечень показателей для проведения оценки налоговых расходов </w:t>
      </w:r>
    </w:p>
    <w:p w:rsidR="00E80879" w:rsidRPr="00CF367F" w:rsidRDefault="00974CE8" w:rsidP="00E808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CF367F">
        <w:rPr>
          <w:rFonts w:ascii="Arial" w:hAnsi="Arial" w:cs="Arial"/>
          <w:sz w:val="24"/>
          <w:szCs w:val="24"/>
        </w:rPr>
        <w:t xml:space="preserve"> </w:t>
      </w:r>
      <w:r w:rsidR="00E80879" w:rsidRPr="00CF367F">
        <w:rPr>
          <w:rFonts w:ascii="Arial" w:hAnsi="Arial" w:cs="Arial"/>
          <w:sz w:val="24"/>
          <w:szCs w:val="24"/>
        </w:rPr>
        <w:t>сельского поселения</w:t>
      </w: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p w:rsidR="00E80879" w:rsidRPr="00CF367F" w:rsidRDefault="00E80879" w:rsidP="00E808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pacing w:val="-4"/>
          <w:sz w:val="24"/>
          <w:szCs w:val="24"/>
          <w:lang w:eastAsia="ru-RU"/>
        </w:rPr>
      </w:pPr>
    </w:p>
    <w:tbl>
      <w:tblPr>
        <w:tblW w:w="1034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6382"/>
        <w:gridCol w:w="3402"/>
      </w:tblGrid>
      <w:tr w:rsidR="00E80879" w:rsidRPr="00CF367F" w:rsidTr="001820F6">
        <w:tc>
          <w:tcPr>
            <w:tcW w:w="6946" w:type="dxa"/>
            <w:gridSpan w:val="2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E80879" w:rsidRPr="00CF367F" w:rsidTr="001820F6">
        <w:tc>
          <w:tcPr>
            <w:tcW w:w="10348" w:type="dxa"/>
            <w:gridSpan w:val="3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.Нормативные и целевые характеристики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Нормативный правовой акт муниципального образования, устанавливающий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предоставления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вступления в силу положений  нормативных правовых актов муниципального образования, устанавливающих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действия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 по налогам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Период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налоговых 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>льгот, освобождений и иных преференций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налогам, предоставленных 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rPr>
          <w:trHeight w:val="1059"/>
        </w:trPr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Дата прекращения действия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налогам, установленная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по налогам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Целевая категория налогового расхода (социальная поддержка, стимулирующая или техническая льгота)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Цели предоставления 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 для плательщиков налогов,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Наименования налогов, по которым предусматриваются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налоговые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льготы, освобождения и иные преференции, установленные 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нормативными правовыми актами муниципального образования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 </w:t>
            </w:r>
            <w:r w:rsidRPr="00CF367F">
              <w:rPr>
                <w:rFonts w:ascii="Arial" w:hAnsi="Arial" w:cs="Arial"/>
                <w:sz w:val="24"/>
                <w:szCs w:val="24"/>
              </w:rPr>
              <w:t>налоговых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rPr>
          <w:trHeight w:val="1023"/>
        </w:trPr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 иные преференции по налогам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rPr>
          <w:trHeight w:val="1925"/>
        </w:trPr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государственным программам, в связи с предоставлением налоговых льгот, освобождений  и иных преференций по налогам 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rPr>
          <w:trHeight w:val="374"/>
        </w:trPr>
        <w:tc>
          <w:tcPr>
            <w:tcW w:w="10348" w:type="dxa"/>
            <w:gridSpan w:val="3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II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Фискальные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характеристики налогового расхода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</w:t>
            </w:r>
            <w:r w:rsidRPr="00CF367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 xml:space="preserve">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предшествующий отчетному году (тыс. рублей)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на плановый период (</w:t>
            </w:r>
            <w:proofErr w:type="spell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</w:t>
            </w:r>
            <w:proofErr w:type="gramStart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ублей</w:t>
            </w:r>
            <w:proofErr w:type="spellEnd"/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Исполнительный комитет муниципального образования</w:t>
            </w:r>
          </w:p>
        </w:tc>
      </w:tr>
      <w:tr w:rsidR="00E80879" w:rsidRPr="00CF367F" w:rsidTr="001820F6">
        <w:trPr>
          <w:trHeight w:val="1095"/>
        </w:trPr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 (единиц),</w:t>
            </w:r>
            <w:r w:rsidRPr="00CF367F">
              <w:rPr>
                <w:rFonts w:ascii="Arial" w:eastAsia="Calibri" w:hAnsi="Arial" w:cs="Arial"/>
                <w:sz w:val="24"/>
                <w:szCs w:val="24"/>
              </w:rPr>
              <w:t xml:space="preserve"> установленных </w:t>
            </w: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правовыми актами муниципального образования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hAnsi="Arial" w:cs="Arial"/>
                <w:sz w:val="24"/>
                <w:szCs w:val="24"/>
              </w:rPr>
              <w:t>Управление Федеральной налоговой службы по Республике Татарстан</w:t>
            </w:r>
          </w:p>
        </w:tc>
      </w:tr>
      <w:tr w:rsidR="00E80879" w:rsidRPr="00CF367F" w:rsidTr="001820F6">
        <w:tc>
          <w:tcPr>
            <w:tcW w:w="564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6382" w:type="dxa"/>
          </w:tcPr>
          <w:p w:rsidR="00E80879" w:rsidRPr="00CF367F" w:rsidRDefault="00E80879" w:rsidP="001820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Результат оценки эффективности налогового расхода</w:t>
            </w:r>
            <w:r w:rsidRPr="00CF367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80879" w:rsidRPr="00CF367F" w:rsidRDefault="00E80879" w:rsidP="001820F6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CF367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Исполнительный комитет муниципального образования </w:t>
            </w:r>
          </w:p>
        </w:tc>
      </w:tr>
    </w:tbl>
    <w:p w:rsidR="00E80879" w:rsidRPr="00CF367F" w:rsidRDefault="00E80879" w:rsidP="00E8087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974CE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B0D76"/>
    <w:rsid w:val="001D367C"/>
    <w:rsid w:val="001D496D"/>
    <w:rsid w:val="00202FD5"/>
    <w:rsid w:val="002F34A0"/>
    <w:rsid w:val="00325EFF"/>
    <w:rsid w:val="003A0DCE"/>
    <w:rsid w:val="003B4616"/>
    <w:rsid w:val="003F7273"/>
    <w:rsid w:val="004272A4"/>
    <w:rsid w:val="00473D86"/>
    <w:rsid w:val="00541954"/>
    <w:rsid w:val="005A07EB"/>
    <w:rsid w:val="005A69F8"/>
    <w:rsid w:val="00601AFB"/>
    <w:rsid w:val="00601B49"/>
    <w:rsid w:val="006069C8"/>
    <w:rsid w:val="006367DE"/>
    <w:rsid w:val="006C32F5"/>
    <w:rsid w:val="006F295B"/>
    <w:rsid w:val="007054F4"/>
    <w:rsid w:val="00745E43"/>
    <w:rsid w:val="007965C7"/>
    <w:rsid w:val="007F47EC"/>
    <w:rsid w:val="00854F3F"/>
    <w:rsid w:val="008772EB"/>
    <w:rsid w:val="0089302C"/>
    <w:rsid w:val="008B0A91"/>
    <w:rsid w:val="008B2C0A"/>
    <w:rsid w:val="008C2490"/>
    <w:rsid w:val="008F5962"/>
    <w:rsid w:val="00935D63"/>
    <w:rsid w:val="00974CE8"/>
    <w:rsid w:val="009805B3"/>
    <w:rsid w:val="009B1ADE"/>
    <w:rsid w:val="009D5C7C"/>
    <w:rsid w:val="00A07F7A"/>
    <w:rsid w:val="00A121A7"/>
    <w:rsid w:val="00A42712"/>
    <w:rsid w:val="00A875EC"/>
    <w:rsid w:val="00AC0A78"/>
    <w:rsid w:val="00AE6F43"/>
    <w:rsid w:val="00B04797"/>
    <w:rsid w:val="00BE27E8"/>
    <w:rsid w:val="00C26492"/>
    <w:rsid w:val="00C27BD5"/>
    <w:rsid w:val="00C462ED"/>
    <w:rsid w:val="00C7321C"/>
    <w:rsid w:val="00CC7AC4"/>
    <w:rsid w:val="00CD7A1F"/>
    <w:rsid w:val="00CE5F4E"/>
    <w:rsid w:val="00D41F56"/>
    <w:rsid w:val="00D5114B"/>
    <w:rsid w:val="00D84E62"/>
    <w:rsid w:val="00DE7B26"/>
    <w:rsid w:val="00E666E7"/>
    <w:rsid w:val="00E80879"/>
    <w:rsid w:val="00ED3779"/>
    <w:rsid w:val="00EE6BA1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07F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0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5AC064E0D8DD765A7C2583F37C2AC53F3322099DAF8AB410A7B40A97C92F6516E2E76C209411772CD4D6B7542C5AE02EE637C6675A7BB02E9DD669f1I1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24026-9817-4C27-8285-C707641D3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52</cp:revision>
  <cp:lastPrinted>2016-09-06T07:37:00Z</cp:lastPrinted>
  <dcterms:created xsi:type="dcterms:W3CDTF">2016-09-06T07:19:00Z</dcterms:created>
  <dcterms:modified xsi:type="dcterms:W3CDTF">2020-03-26T08:28:00Z</dcterms:modified>
</cp:coreProperties>
</file>